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3"/>
        <w:gridCol w:w="2189"/>
      </w:tblGrid>
      <w:tr w:rsidR="00AA3FC5" w:rsidRPr="002A4241" w:rsidTr="00AA3FC5">
        <w:tc>
          <w:tcPr>
            <w:tcW w:w="6623" w:type="dxa"/>
            <w:shd w:val="clear" w:color="auto" w:fill="auto"/>
            <w:tcMar>
              <w:top w:w="57" w:type="dxa"/>
              <w:bottom w:w="57" w:type="dxa"/>
            </w:tcMar>
          </w:tcPr>
          <w:p w:rsidR="00AA3FC5" w:rsidRPr="002A4241" w:rsidRDefault="00AA3FC5" w:rsidP="00A83C5C">
            <w:pPr>
              <w:jc w:val="both"/>
              <w:rPr>
                <w:b/>
                <w:sz w:val="22"/>
                <w:szCs w:val="22"/>
              </w:rPr>
            </w:pPr>
            <w:r w:rsidRPr="002A4241">
              <w:rPr>
                <w:b/>
                <w:sz w:val="22"/>
                <w:szCs w:val="22"/>
              </w:rPr>
              <w:t xml:space="preserve">Tantárgy neve: </w:t>
            </w:r>
            <w:r w:rsidRPr="002A4241">
              <w:rPr>
                <w:b/>
                <w:bCs/>
                <w:sz w:val="22"/>
                <w:szCs w:val="22"/>
              </w:rPr>
              <w:t>Gyógynövénytermesztési ismeretek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AA3FC5">
              <w:rPr>
                <w:b/>
                <w:bCs/>
                <w:sz w:val="22"/>
                <w:szCs w:val="22"/>
              </w:rPr>
              <w:t>MTBK7011</w:t>
            </w:r>
          </w:p>
        </w:tc>
        <w:tc>
          <w:tcPr>
            <w:tcW w:w="2189" w:type="dxa"/>
            <w:shd w:val="clear" w:color="auto" w:fill="auto"/>
            <w:tcMar>
              <w:top w:w="57" w:type="dxa"/>
              <w:bottom w:w="57" w:type="dxa"/>
            </w:tcMar>
          </w:tcPr>
          <w:p w:rsidR="00AA3FC5" w:rsidRPr="002A4241" w:rsidRDefault="00AA3FC5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2A4241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A3FC5" w:rsidRPr="002A4241" w:rsidTr="00AA3FC5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A3FC5" w:rsidRPr="002A4241" w:rsidRDefault="00AA3FC5" w:rsidP="00AA3FC5">
            <w:pPr>
              <w:spacing w:before="60"/>
              <w:jc w:val="both"/>
              <w:rPr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>A tanóra</w:t>
            </w:r>
            <w:r w:rsidRPr="002A4241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 w:rsidRPr="002A4241">
              <w:rPr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 xml:space="preserve"> </w:t>
            </w:r>
            <w:r w:rsidRPr="002A4241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+ 2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2A4241">
              <w:rPr>
                <w:b/>
                <w:sz w:val="22"/>
                <w:szCs w:val="22"/>
              </w:rPr>
              <w:t xml:space="preserve"> </w:t>
            </w:r>
            <w:r w:rsidRPr="002A4241">
              <w:rPr>
                <w:sz w:val="22"/>
                <w:szCs w:val="22"/>
              </w:rPr>
              <w:t>az adott félévben,</w:t>
            </w:r>
          </w:p>
        </w:tc>
      </w:tr>
      <w:tr w:rsidR="00AA3FC5" w:rsidRPr="002A4241" w:rsidTr="00AA3FC5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A3FC5" w:rsidRPr="002A4241" w:rsidRDefault="00AA3FC5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>A számonkérés módja (</w:t>
            </w:r>
            <w:proofErr w:type="spellStart"/>
            <w:r w:rsidRPr="002A4241">
              <w:rPr>
                <w:sz w:val="22"/>
                <w:szCs w:val="22"/>
              </w:rPr>
              <w:t>koll</w:t>
            </w:r>
            <w:proofErr w:type="spellEnd"/>
            <w:r w:rsidRPr="002A4241">
              <w:rPr>
                <w:sz w:val="22"/>
                <w:szCs w:val="22"/>
              </w:rPr>
              <w:t xml:space="preserve">. / </w:t>
            </w:r>
            <w:proofErr w:type="spellStart"/>
            <w:r w:rsidRPr="002A4241">
              <w:rPr>
                <w:sz w:val="22"/>
                <w:szCs w:val="22"/>
              </w:rPr>
              <w:t>gyj</w:t>
            </w:r>
            <w:proofErr w:type="spellEnd"/>
            <w:r w:rsidRPr="002A4241">
              <w:rPr>
                <w:sz w:val="22"/>
                <w:szCs w:val="22"/>
              </w:rPr>
              <w:t>. / egyéb</w:t>
            </w:r>
            <w:r w:rsidRPr="002A4241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2A4241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AA3FC5" w:rsidRPr="002A4241" w:rsidTr="00AA3FC5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A3FC5" w:rsidRPr="002A4241" w:rsidRDefault="00AA3FC5" w:rsidP="00A83C5C">
            <w:pPr>
              <w:jc w:val="both"/>
              <w:rPr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V.</w:t>
            </w:r>
          </w:p>
        </w:tc>
      </w:tr>
      <w:tr w:rsidR="00AA3FC5" w:rsidRPr="002A4241" w:rsidTr="00AA3FC5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A3FC5" w:rsidRPr="002A4241" w:rsidRDefault="00AA3FC5" w:rsidP="00A83C5C">
            <w:pPr>
              <w:jc w:val="both"/>
              <w:rPr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 xml:space="preserve">Előtanulmányi feltételek </w:t>
            </w:r>
            <w:r w:rsidRPr="002A4241">
              <w:rPr>
                <w:i/>
                <w:sz w:val="22"/>
                <w:szCs w:val="22"/>
              </w:rPr>
              <w:t>(ha vannak)</w:t>
            </w:r>
            <w:r w:rsidRPr="002A4241">
              <w:rPr>
                <w:sz w:val="22"/>
                <w:szCs w:val="22"/>
              </w:rPr>
              <w:t>:</w:t>
            </w:r>
            <w:r w:rsidRPr="002A4241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AA3FC5" w:rsidRPr="002A4241" w:rsidTr="00AA3FC5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A3FC5" w:rsidRPr="002A4241" w:rsidRDefault="00AA3FC5" w:rsidP="00AA3FC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2A4241">
              <w:rPr>
                <w:b/>
                <w:sz w:val="22"/>
                <w:szCs w:val="22"/>
              </w:rPr>
              <w:t>Tantárgy-leírás</w:t>
            </w:r>
          </w:p>
        </w:tc>
      </w:tr>
      <w:tr w:rsidR="00AA3FC5" w:rsidRPr="002A4241" w:rsidTr="00AA3FC5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A3FC5" w:rsidRPr="002A4241" w:rsidRDefault="00AA3FC5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 xml:space="preserve">A tantárgy célja tematikus, </w:t>
            </w:r>
            <w:proofErr w:type="gramStart"/>
            <w:r w:rsidRPr="002A4241">
              <w:rPr>
                <w:sz w:val="22"/>
                <w:szCs w:val="22"/>
              </w:rPr>
              <w:t>komplex</w:t>
            </w:r>
            <w:proofErr w:type="gramEnd"/>
            <w:r w:rsidRPr="002A4241">
              <w:rPr>
                <w:sz w:val="22"/>
                <w:szCs w:val="22"/>
              </w:rPr>
              <w:t xml:space="preserve"> ismeretanyag átadása és elsajátítása a gyógy- és fűszernövény termesztés hazai és nemzetközi jelentőségéről, sajátos ökológiai és ökonómiai feltételeiről, a termesztéstechnológia egyes elemeiről, a nemesítésről, a gyógy- és fűszernövények alapvető tárolási- és feldolgozási módjáról, hasznosítási lehetőségeiről. A szerzett ismeretanyag birtokában a hallgatók a gyakorlatban képesek legyenek a Magyarországon termeszthető gyógy- és fűszernövény fajok termesztéstechnológiáit, feldolgozását megvalósítani, ismerjék a minőségi követelményeket. </w:t>
            </w:r>
          </w:p>
          <w:p w:rsidR="00AA3FC5" w:rsidRPr="002A4241" w:rsidRDefault="00AA3FC5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3FC5" w:rsidRPr="002A4241" w:rsidRDefault="00AA3FC5" w:rsidP="00AA3F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 xml:space="preserve">A gyógy-és fűszernövény-termesztés hazánkban és külföldön. A gyógy-és fűszernövény-termesztés </w:t>
            </w:r>
            <w:proofErr w:type="spellStart"/>
            <w:r w:rsidRPr="002A4241">
              <w:rPr>
                <w:sz w:val="22"/>
                <w:szCs w:val="22"/>
              </w:rPr>
              <w:t>agroökológiai</w:t>
            </w:r>
            <w:proofErr w:type="spellEnd"/>
            <w:r w:rsidRPr="002A4241">
              <w:rPr>
                <w:sz w:val="22"/>
                <w:szCs w:val="22"/>
              </w:rPr>
              <w:t xml:space="preserve"> feltételei. A drog fogalma, csoportosítása.</w:t>
            </w:r>
          </w:p>
          <w:p w:rsidR="00AA3FC5" w:rsidRPr="002A4241" w:rsidRDefault="00AA3FC5" w:rsidP="00AA3F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>A gyógy-és fűszernövény-termesztés biológiai alapjai, a gyógynövények gyűjtése.</w:t>
            </w:r>
          </w:p>
          <w:p w:rsidR="00AA3FC5" w:rsidRPr="002A4241" w:rsidRDefault="00AA3FC5" w:rsidP="00AA3F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 xml:space="preserve">A gyógy-és fűszernövény-termesztés termesztéstechnológiájának általános kérdései. (Vetésváltás, tápanyagellátás, talajművelés, vetés, növényápolás, növényvédelem, betakarítás). </w:t>
            </w:r>
            <w:proofErr w:type="spellStart"/>
            <w:r w:rsidRPr="002A4241">
              <w:rPr>
                <w:sz w:val="22"/>
                <w:szCs w:val="22"/>
              </w:rPr>
              <w:t>Biotermesztés</w:t>
            </w:r>
            <w:proofErr w:type="spellEnd"/>
            <w:r w:rsidRPr="002A4241">
              <w:rPr>
                <w:sz w:val="22"/>
                <w:szCs w:val="22"/>
              </w:rPr>
              <w:t xml:space="preserve"> lehetőségei és gyakorlata a gyógy-és fűszernövény termesztésben.</w:t>
            </w:r>
          </w:p>
          <w:p w:rsidR="00AA3FC5" w:rsidRPr="002A4241" w:rsidRDefault="00AA3FC5" w:rsidP="00AA3F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>A gyógy-és fűszernövények elsődleges feldolgozása (szárítás, illóolajkinyerés).</w:t>
            </w:r>
            <w:r w:rsidRPr="002A4241">
              <w:rPr>
                <w:bCs/>
                <w:sz w:val="22"/>
                <w:szCs w:val="22"/>
              </w:rPr>
              <w:t xml:space="preserve"> </w:t>
            </w:r>
          </w:p>
          <w:p w:rsidR="00AA3FC5" w:rsidRPr="002A4241" w:rsidRDefault="00AA3FC5" w:rsidP="00AA3F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>Drogok raktározása és csomagolása; drogok minőségi követelményei.</w:t>
            </w:r>
          </w:p>
          <w:p w:rsidR="00AA3FC5" w:rsidRPr="002A4241" w:rsidRDefault="00AA3FC5" w:rsidP="00AA3FC5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 w:val="22"/>
                <w:szCs w:val="22"/>
              </w:rPr>
            </w:pPr>
            <w:r w:rsidRPr="002A4241">
              <w:rPr>
                <w:b w:val="0"/>
                <w:sz w:val="22"/>
                <w:szCs w:val="22"/>
              </w:rPr>
              <w:t>Fontosabb vadon termő- és termesztett gyógynövény fajok ismertetése – Ajakosak: menták, citromfű, levendula, zsályák, izsóp.</w:t>
            </w:r>
          </w:p>
          <w:p w:rsidR="00AA3FC5" w:rsidRPr="002A4241" w:rsidRDefault="00AA3FC5" w:rsidP="00AA3FC5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 w:val="22"/>
                <w:szCs w:val="22"/>
              </w:rPr>
            </w:pPr>
            <w:r w:rsidRPr="002A4241">
              <w:rPr>
                <w:b w:val="0"/>
                <w:sz w:val="22"/>
                <w:szCs w:val="22"/>
              </w:rPr>
              <w:t xml:space="preserve">Ajakosak: orvosi pemetefű, kakukkfű, szurokfű,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majoranna</w:t>
            </w:r>
            <w:proofErr w:type="spellEnd"/>
            <w:r w:rsidRPr="002A4241">
              <w:rPr>
                <w:b w:val="0"/>
                <w:sz w:val="22"/>
                <w:szCs w:val="22"/>
              </w:rPr>
              <w:t>, borsfű, bazsalikom.</w:t>
            </w:r>
          </w:p>
          <w:p w:rsidR="00AA3FC5" w:rsidRPr="002A4241" w:rsidRDefault="00AA3FC5" w:rsidP="00AA3FC5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 w:val="22"/>
                <w:szCs w:val="22"/>
              </w:rPr>
            </w:pPr>
            <w:r w:rsidRPr="002A4241">
              <w:rPr>
                <w:b w:val="0"/>
                <w:sz w:val="22"/>
                <w:szCs w:val="22"/>
              </w:rPr>
              <w:t xml:space="preserve">Fészekvirágzatúak: kamillák, mezei cickafark, kasvirág, kerti körömvirág,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sáfrányszeklice</w:t>
            </w:r>
            <w:proofErr w:type="spellEnd"/>
            <w:r w:rsidRPr="002A4241">
              <w:rPr>
                <w:b w:val="0"/>
                <w:sz w:val="22"/>
                <w:szCs w:val="22"/>
              </w:rPr>
              <w:t>.</w:t>
            </w:r>
          </w:p>
          <w:p w:rsidR="00AA3FC5" w:rsidRPr="002A4241" w:rsidRDefault="00AA3FC5" w:rsidP="00AA3FC5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 w:val="22"/>
                <w:szCs w:val="22"/>
              </w:rPr>
            </w:pPr>
            <w:r w:rsidRPr="002A4241">
              <w:rPr>
                <w:b w:val="0"/>
                <w:sz w:val="22"/>
                <w:szCs w:val="22"/>
              </w:rPr>
              <w:t xml:space="preserve">Tárkony, mezei katáng, aranyvessző fajok, gilisztaűző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varádics</w:t>
            </w:r>
            <w:proofErr w:type="spellEnd"/>
            <w:r w:rsidRPr="002A4241">
              <w:rPr>
                <w:b w:val="0"/>
                <w:sz w:val="22"/>
                <w:szCs w:val="22"/>
              </w:rPr>
              <w:t>.</w:t>
            </w:r>
          </w:p>
          <w:p w:rsidR="00AA3FC5" w:rsidRPr="002A4241" w:rsidRDefault="00AA3FC5" w:rsidP="00AA3FC5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 w:val="22"/>
                <w:szCs w:val="22"/>
              </w:rPr>
            </w:pPr>
            <w:r w:rsidRPr="002A4241">
              <w:rPr>
                <w:b w:val="0"/>
                <w:sz w:val="22"/>
                <w:szCs w:val="22"/>
              </w:rPr>
              <w:t xml:space="preserve">Rovarporvirág, benedekfű, máriatövis,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szekliceimola</w:t>
            </w:r>
            <w:proofErr w:type="spellEnd"/>
            <w:r w:rsidRPr="002A4241">
              <w:rPr>
                <w:b w:val="0"/>
                <w:sz w:val="22"/>
                <w:szCs w:val="22"/>
              </w:rPr>
              <w:t>.</w:t>
            </w:r>
          </w:p>
          <w:p w:rsidR="00AA3FC5" w:rsidRPr="002A4241" w:rsidRDefault="00AA3FC5" w:rsidP="00AA3FC5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A4241">
              <w:rPr>
                <w:b w:val="0"/>
                <w:sz w:val="22"/>
                <w:szCs w:val="22"/>
              </w:rPr>
              <w:t>Apiaceae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>: kapor, koriander, ánizs, konyhakömény.</w:t>
            </w:r>
          </w:p>
          <w:p w:rsidR="00AA3FC5" w:rsidRPr="002A4241" w:rsidRDefault="00AA3FC5" w:rsidP="00AA3FC5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 w:val="22"/>
                <w:szCs w:val="22"/>
              </w:rPr>
            </w:pPr>
            <w:r w:rsidRPr="002A4241">
              <w:rPr>
                <w:b w:val="0"/>
                <w:sz w:val="22"/>
                <w:szCs w:val="22"/>
              </w:rPr>
              <w:t xml:space="preserve">Édeskömény,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angelika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lestyán</w:t>
            </w:r>
            <w:proofErr w:type="spellEnd"/>
            <w:r w:rsidRPr="002A4241">
              <w:rPr>
                <w:b w:val="0"/>
                <w:sz w:val="22"/>
                <w:szCs w:val="22"/>
              </w:rPr>
              <w:t>.</w:t>
            </w:r>
          </w:p>
          <w:p w:rsidR="00AA3FC5" w:rsidRPr="002A4241" w:rsidRDefault="00AA3FC5" w:rsidP="00AA3FC5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 w:val="22"/>
                <w:szCs w:val="22"/>
              </w:rPr>
            </w:pPr>
            <w:r w:rsidRPr="002A424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Brassicaceae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: mustár fajok, pásztortáska;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Malvaceae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: orvosi ziliz, festő mályva, mórmályva;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Urticaceae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: nagycsalán;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Valerianaceae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>: macskagyökér.</w:t>
            </w:r>
          </w:p>
          <w:p w:rsidR="00AA3FC5" w:rsidRPr="002A4241" w:rsidRDefault="00AA3FC5" w:rsidP="00AA3FC5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A4241">
              <w:rPr>
                <w:b w:val="0"/>
                <w:sz w:val="22"/>
                <w:szCs w:val="22"/>
              </w:rPr>
              <w:t>Caryophyllaceae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buglyos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 fátyolvirág, szappanfű;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Rosaceae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: galagonya, vadrózsa;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Fabaceae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>: tövises iglice, igazi édesgyökér.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Solanaceae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: beléndek, csattanó maszlag, nadragulya;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Boraginaceae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: fekete nadálytő, kerti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borágó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;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Plantaginaceae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 xml:space="preserve">: útifű fajok; </w:t>
            </w:r>
            <w:proofErr w:type="spellStart"/>
            <w:r w:rsidRPr="002A4241">
              <w:rPr>
                <w:b w:val="0"/>
                <w:sz w:val="22"/>
                <w:szCs w:val="22"/>
              </w:rPr>
              <w:t>Gentianaceae</w:t>
            </w:r>
            <w:proofErr w:type="spellEnd"/>
            <w:r w:rsidRPr="002A4241">
              <w:rPr>
                <w:b w:val="0"/>
                <w:sz w:val="22"/>
                <w:szCs w:val="22"/>
              </w:rPr>
              <w:t>: kis ezerjófű.</w:t>
            </w:r>
          </w:p>
        </w:tc>
      </w:tr>
      <w:tr w:rsidR="00AA3FC5" w:rsidRPr="002A4241" w:rsidTr="00AA3FC5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3FC5" w:rsidRPr="002A4241" w:rsidRDefault="00AA3FC5" w:rsidP="00AA3FC5">
            <w:pPr>
              <w:jc w:val="both"/>
              <w:rPr>
                <w:b/>
                <w:sz w:val="22"/>
                <w:szCs w:val="22"/>
              </w:rPr>
            </w:pPr>
            <w:r w:rsidRPr="002A4241">
              <w:rPr>
                <w:sz w:val="22"/>
                <w:szCs w:val="22"/>
              </w:rPr>
              <w:t xml:space="preserve">A </w:t>
            </w:r>
            <w:r w:rsidRPr="002A4241">
              <w:rPr>
                <w:b/>
                <w:sz w:val="22"/>
                <w:szCs w:val="22"/>
              </w:rPr>
              <w:t>3-5</w:t>
            </w:r>
            <w:r w:rsidRPr="002A4241">
              <w:rPr>
                <w:sz w:val="22"/>
                <w:szCs w:val="22"/>
              </w:rPr>
              <w:t xml:space="preserve"> legfontosabb </w:t>
            </w:r>
            <w:r w:rsidRPr="002A4241">
              <w:rPr>
                <w:i/>
                <w:sz w:val="22"/>
                <w:szCs w:val="22"/>
              </w:rPr>
              <w:t>kötelező,</w:t>
            </w:r>
            <w:r w:rsidRPr="002A4241">
              <w:rPr>
                <w:sz w:val="22"/>
                <w:szCs w:val="22"/>
              </w:rPr>
              <w:t xml:space="preserve"> illetve </w:t>
            </w:r>
            <w:r w:rsidRPr="002A4241">
              <w:rPr>
                <w:i/>
                <w:sz w:val="22"/>
                <w:szCs w:val="22"/>
              </w:rPr>
              <w:t>ajánlott</w:t>
            </w:r>
            <w:r w:rsidRPr="002A4241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irodalom</w:t>
            </w:r>
          </w:p>
        </w:tc>
      </w:tr>
      <w:tr w:rsidR="00AA3FC5" w:rsidRPr="002A4241" w:rsidTr="00AA3FC5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A3FC5" w:rsidRPr="0077650D" w:rsidRDefault="00AA3FC5" w:rsidP="00A83C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7765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  <w:p w:rsidR="00AA3FC5" w:rsidRPr="0077650D" w:rsidRDefault="00AA3FC5" w:rsidP="00AA3F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5" w:lineRule="exact"/>
              <w:rPr>
                <w:sz w:val="22"/>
                <w:szCs w:val="22"/>
              </w:rPr>
            </w:pPr>
            <w:r w:rsidRPr="0077650D">
              <w:rPr>
                <w:sz w:val="22"/>
                <w:szCs w:val="22"/>
              </w:rPr>
              <w:t>Bernáth J. (2004): Gyógy- és aromanövények termesztése. Mezőgazda Kiadó, Budapest. 668.p. ISBN 9639239968</w:t>
            </w:r>
          </w:p>
          <w:p w:rsidR="00AA3FC5" w:rsidRPr="0077650D" w:rsidRDefault="00AA3FC5" w:rsidP="00AA3F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7650D">
              <w:rPr>
                <w:sz w:val="22"/>
                <w:szCs w:val="22"/>
              </w:rPr>
              <w:t>Pepó</w:t>
            </w:r>
            <w:proofErr w:type="spellEnd"/>
            <w:r w:rsidRPr="0077650D">
              <w:rPr>
                <w:sz w:val="22"/>
                <w:szCs w:val="22"/>
              </w:rPr>
              <w:t xml:space="preserve"> P. (</w:t>
            </w:r>
            <w:proofErr w:type="spellStart"/>
            <w:r w:rsidRPr="0077650D">
              <w:rPr>
                <w:sz w:val="22"/>
                <w:szCs w:val="22"/>
              </w:rPr>
              <w:t>szerk</w:t>
            </w:r>
            <w:proofErr w:type="spellEnd"/>
            <w:r w:rsidRPr="0077650D">
              <w:rPr>
                <w:sz w:val="22"/>
                <w:szCs w:val="22"/>
              </w:rPr>
              <w:t>.) (2008): Növénytermesztési praktikum III. Debreceni Egyetem, Debrecen. 214. pp. ISBN 978 963 9732 29 2</w:t>
            </w:r>
          </w:p>
          <w:p w:rsidR="00AA3FC5" w:rsidRPr="0077650D" w:rsidRDefault="00AA3FC5" w:rsidP="00AA3F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5" w:lineRule="exact"/>
              <w:rPr>
                <w:sz w:val="22"/>
                <w:szCs w:val="22"/>
              </w:rPr>
            </w:pPr>
            <w:r w:rsidRPr="0077650D">
              <w:rPr>
                <w:sz w:val="22"/>
                <w:szCs w:val="22"/>
              </w:rPr>
              <w:lastRenderedPageBreak/>
              <w:t>Hornok L. (1990): Gyógynövények termesztése és feldolgozása. Mezőgazdasági Szaktudás Kiadó, Budapest. 331. p. ISBN 963-234-296-8</w:t>
            </w:r>
          </w:p>
          <w:p w:rsidR="00AA3FC5" w:rsidRPr="0077650D" w:rsidRDefault="00AA3FC5" w:rsidP="00AA3F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5" w:lineRule="exact"/>
              <w:rPr>
                <w:sz w:val="24"/>
                <w:szCs w:val="24"/>
              </w:rPr>
            </w:pPr>
            <w:r w:rsidRPr="0077650D">
              <w:rPr>
                <w:sz w:val="22"/>
                <w:szCs w:val="22"/>
              </w:rPr>
              <w:t>Michael C. (1997): Gyógynövény enciklopédia. Esély Kiadó, Budapest. 477. p. ISBN 963-583-042-4</w:t>
            </w:r>
          </w:p>
        </w:tc>
      </w:tr>
      <w:tr w:rsidR="00AA3FC5" w:rsidRPr="002A4241" w:rsidTr="00AA3FC5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A3FC5" w:rsidRPr="002A4241" w:rsidRDefault="00AA3FC5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2A4241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2A4241">
              <w:rPr>
                <w:sz w:val="22"/>
                <w:szCs w:val="22"/>
              </w:rPr>
              <w:t>(</w:t>
            </w:r>
            <w:r w:rsidRPr="002A4241">
              <w:rPr>
                <w:i/>
                <w:sz w:val="22"/>
                <w:szCs w:val="22"/>
              </w:rPr>
              <w:t>név, beosztás, tud. fokozat</w:t>
            </w:r>
            <w:r w:rsidRPr="002A4241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Pr="00776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650D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77650D">
              <w:rPr>
                <w:b/>
                <w:bCs/>
                <w:sz w:val="22"/>
                <w:szCs w:val="22"/>
              </w:rPr>
              <w:t>Kutasy</w:t>
            </w:r>
            <w:proofErr w:type="spellEnd"/>
            <w:r w:rsidRPr="0077650D">
              <w:rPr>
                <w:b/>
                <w:bCs/>
                <w:sz w:val="22"/>
                <w:szCs w:val="22"/>
              </w:rPr>
              <w:t xml:space="preserve"> Erika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7650D">
              <w:rPr>
                <w:b/>
                <w:bCs/>
                <w:sz w:val="22"/>
                <w:szCs w:val="22"/>
              </w:rPr>
              <w:t xml:space="preserve"> egyetemi adjunktus, PhD</w:t>
            </w:r>
          </w:p>
        </w:tc>
      </w:tr>
    </w:tbl>
    <w:p w:rsidR="00B1022D" w:rsidRDefault="00B1022D">
      <w:bookmarkStart w:id="0" w:name="_GoBack"/>
      <w:bookmarkEnd w:id="0"/>
    </w:p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0C" w:rsidRDefault="0017500C" w:rsidP="00AA3FC5">
      <w:r>
        <w:separator/>
      </w:r>
    </w:p>
  </w:endnote>
  <w:endnote w:type="continuationSeparator" w:id="0">
    <w:p w:rsidR="0017500C" w:rsidRDefault="0017500C" w:rsidP="00AA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0C" w:rsidRDefault="0017500C" w:rsidP="00AA3FC5">
      <w:r>
        <w:separator/>
      </w:r>
    </w:p>
  </w:footnote>
  <w:footnote w:type="continuationSeparator" w:id="0">
    <w:p w:rsidR="0017500C" w:rsidRDefault="0017500C" w:rsidP="00AA3FC5">
      <w:r>
        <w:continuationSeparator/>
      </w:r>
    </w:p>
  </w:footnote>
  <w:footnote w:id="1">
    <w:p w:rsidR="00AA3FC5" w:rsidRPr="00A5216A" w:rsidRDefault="00AA3FC5" w:rsidP="00AA3FC5">
      <w:pPr>
        <w:pStyle w:val="Lbjegyzetszveg"/>
        <w:ind w:left="142" w:hanging="142"/>
        <w:rPr>
          <w:sz w:val="4"/>
          <w:szCs w:val="4"/>
        </w:rPr>
      </w:pPr>
    </w:p>
    <w:p w:rsidR="00AA3FC5" w:rsidRPr="0003723C" w:rsidRDefault="00AA3FC5" w:rsidP="00AA3FC5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AA3FC5" w:rsidRPr="0003723C" w:rsidRDefault="00AA3FC5" w:rsidP="00AA3FC5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5317"/>
    <w:multiLevelType w:val="hybridMultilevel"/>
    <w:tmpl w:val="C64E34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14046"/>
    <w:multiLevelType w:val="hybridMultilevel"/>
    <w:tmpl w:val="FFC035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C5"/>
    <w:rsid w:val="0017500C"/>
    <w:rsid w:val="007C034F"/>
    <w:rsid w:val="008A3A8C"/>
    <w:rsid w:val="00A71680"/>
    <w:rsid w:val="00AA3FC5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0367"/>
  <w15:chartTrackingRefBased/>
  <w15:docId w15:val="{E7E028E3-1C27-4F89-BDCF-2B0DF939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A3FC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A3FC5"/>
  </w:style>
  <w:style w:type="character" w:customStyle="1" w:styleId="LbjegyzetszvegChar">
    <w:name w:val="Lábjegyzetszöveg Char"/>
    <w:basedOn w:val="Bekezdsalapbettpusa"/>
    <w:link w:val="Lbjegyzetszveg"/>
    <w:semiHidden/>
    <w:rsid w:val="00AA3F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A3FC5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AA3FC5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2020-08-28T16:45:00Z</dcterms:created>
  <dcterms:modified xsi:type="dcterms:W3CDTF">2020-08-28T16:46:00Z</dcterms:modified>
</cp:coreProperties>
</file>